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1F9" w:rsidRDefault="00C431F9" w:rsidP="00C57985">
      <w:pPr>
        <w:pStyle w:val="Sansinterligne"/>
      </w:pPr>
      <w:r>
        <w:t>L’évaluation de ces connaissances et attitudes n’est pas possible</w:t>
      </w:r>
      <w:r w:rsidR="00EF632F">
        <w:t xml:space="preserve"> in situ, le jour de la passation</w:t>
      </w:r>
      <w:r w:rsidR="005E71AC">
        <w:t xml:space="preserve">. </w:t>
      </w:r>
      <w:r>
        <w:t>Il est préférable de</w:t>
      </w:r>
      <w:r w:rsidR="00FB3DCB">
        <w:t xml:space="preserve"> réaliser </w:t>
      </w:r>
      <w:r w:rsidR="00EF632F">
        <w:t xml:space="preserve">cette évaluation tout au long du module. </w:t>
      </w:r>
    </w:p>
    <w:p w:rsidR="00C57985" w:rsidRDefault="00C57985" w:rsidP="00C57985">
      <w:pPr>
        <w:pStyle w:val="Sansinterligne"/>
      </w:pPr>
      <w:r>
        <w:t xml:space="preserve">Le tableau ci-dessous explicite certains contenus pour donner quelques repères d’évaluation des acquis des élèves. </w:t>
      </w:r>
    </w:p>
    <w:p w:rsidR="00C57985" w:rsidRDefault="00C57985" w:rsidP="00C57985">
      <w:pPr>
        <w:pStyle w:val="Sansinterligne"/>
      </w:pPr>
      <w:r>
        <w:t>La colonne la plus à droite décrit un élève qui se situe bien au-delà des attentes que l’on peut avoir pour ce savoir nager. Elle est proposée à titre de perspective.</w:t>
      </w:r>
    </w:p>
    <w:p w:rsidR="00C57985" w:rsidRDefault="00C57985" w:rsidP="00C57985">
      <w:pPr>
        <w:pStyle w:val="Sansinterligne"/>
      </w:pPr>
    </w:p>
    <w:p w:rsidR="00C57985" w:rsidRDefault="00C431F9" w:rsidP="00C57985">
      <w:pPr>
        <w:pStyle w:val="Sansinterligne"/>
      </w:pPr>
      <w:r w:rsidRPr="00C57985">
        <w:rPr>
          <w:b/>
        </w:rPr>
        <w:t>Attention !</w:t>
      </w:r>
      <w:r>
        <w:t xml:space="preserve"> </w:t>
      </w:r>
      <w:r w:rsidR="00EF632F">
        <w:t>Cette évaluation n’est possible que si un enseignement de</w:t>
      </w:r>
      <w:r w:rsidR="0024260D">
        <w:t xml:space="preserve"> ce</w:t>
      </w:r>
      <w:r w:rsidR="00EF632F">
        <w:t xml:space="preserve">s </w:t>
      </w:r>
      <w:r>
        <w:t>connaissances et attitudes</w:t>
      </w:r>
      <w:r w:rsidR="00EF632F">
        <w:t xml:space="preserve"> a été réalisé</w:t>
      </w:r>
      <w:r w:rsidR="00FB3DCB">
        <w:t xml:space="preserve">. </w:t>
      </w:r>
    </w:p>
    <w:p w:rsidR="00C57985" w:rsidRDefault="00C57985" w:rsidP="00C57985">
      <w:pPr>
        <w:pStyle w:val="Sansinterligne"/>
      </w:pPr>
    </w:p>
    <w:tbl>
      <w:tblPr>
        <w:tblStyle w:val="Grilledutableau"/>
        <w:tblW w:w="15304" w:type="dxa"/>
        <w:tblLayout w:type="fixed"/>
        <w:tblLook w:val="04A0" w:firstRow="1" w:lastRow="0" w:firstColumn="1" w:lastColumn="0" w:noHBand="0" w:noVBand="1"/>
      </w:tblPr>
      <w:tblGrid>
        <w:gridCol w:w="1555"/>
        <w:gridCol w:w="3437"/>
        <w:gridCol w:w="3437"/>
        <w:gridCol w:w="3437"/>
        <w:gridCol w:w="3438"/>
      </w:tblGrid>
      <w:tr w:rsidR="0024260D" w:rsidTr="00C57985">
        <w:tc>
          <w:tcPr>
            <w:tcW w:w="1555" w:type="dxa"/>
          </w:tcPr>
          <w:p w:rsidR="0024260D" w:rsidRPr="00C57985" w:rsidRDefault="00C431F9" w:rsidP="00C431F9">
            <w:pPr>
              <w:rPr>
                <w:b/>
              </w:rPr>
            </w:pPr>
            <w:r w:rsidRPr="00C57985">
              <w:rPr>
                <w:b/>
              </w:rPr>
              <w:t>Connaissan</w:t>
            </w:r>
            <w:r w:rsidR="00D70AD4" w:rsidRPr="00C57985">
              <w:rPr>
                <w:b/>
              </w:rPr>
              <w:t>ces et attitudes</w:t>
            </w:r>
          </w:p>
        </w:tc>
        <w:tc>
          <w:tcPr>
            <w:tcW w:w="6874" w:type="dxa"/>
            <w:gridSpan w:val="2"/>
            <w:vAlign w:val="center"/>
          </w:tcPr>
          <w:p w:rsidR="0024260D" w:rsidRPr="00C431F9" w:rsidRDefault="00B140D6" w:rsidP="00C431F9">
            <w:pPr>
              <w:jc w:val="center"/>
              <w:rPr>
                <w:b/>
              </w:rPr>
            </w:pPr>
            <w:r w:rsidRPr="00C431F9">
              <w:rPr>
                <w:b/>
              </w:rPr>
              <w:t>Connaissances et attitudes ne permettant pas la validation du test</w:t>
            </w:r>
          </w:p>
        </w:tc>
        <w:tc>
          <w:tcPr>
            <w:tcW w:w="6875" w:type="dxa"/>
            <w:gridSpan w:val="2"/>
            <w:vAlign w:val="center"/>
          </w:tcPr>
          <w:p w:rsidR="0024260D" w:rsidRPr="00C431F9" w:rsidRDefault="00B140D6" w:rsidP="00C431F9">
            <w:pPr>
              <w:jc w:val="center"/>
              <w:rPr>
                <w:b/>
              </w:rPr>
            </w:pPr>
            <w:r w:rsidRPr="00C431F9">
              <w:rPr>
                <w:b/>
              </w:rPr>
              <w:t>Connaissances et attitudes permettant la validation du test</w:t>
            </w:r>
          </w:p>
        </w:tc>
      </w:tr>
      <w:tr w:rsidR="0024260D" w:rsidTr="00C57985">
        <w:tc>
          <w:tcPr>
            <w:tcW w:w="1555" w:type="dxa"/>
            <w:vAlign w:val="center"/>
          </w:tcPr>
          <w:p w:rsidR="0024260D" w:rsidRPr="00C431F9" w:rsidRDefault="0024260D" w:rsidP="00C431F9">
            <w:pPr>
              <w:rPr>
                <w:b/>
              </w:rPr>
            </w:pPr>
            <w:r w:rsidRPr="00C431F9">
              <w:rPr>
                <w:b/>
              </w:rPr>
              <w:t>Règles d’hygiène</w:t>
            </w:r>
          </w:p>
        </w:tc>
        <w:tc>
          <w:tcPr>
            <w:tcW w:w="3437" w:type="dxa"/>
            <w:vAlign w:val="center"/>
          </w:tcPr>
          <w:p w:rsidR="0024260D" w:rsidRPr="00C57985" w:rsidRDefault="0024260D" w:rsidP="00C57985">
            <w:pPr>
              <w:rPr>
                <w:sz w:val="20"/>
              </w:rPr>
            </w:pPr>
            <w:r w:rsidRPr="00C57985">
              <w:rPr>
                <w:sz w:val="20"/>
              </w:rPr>
              <w:t>L’enseignant doit rappeler à l’élève les règles d’hygiène primordiales à mettre en œuvre  ava</w:t>
            </w:r>
            <w:r w:rsidR="00C57985" w:rsidRPr="00C57985">
              <w:rPr>
                <w:sz w:val="20"/>
              </w:rPr>
              <w:t xml:space="preserve">nt d’accéder au bassin : </w:t>
            </w:r>
            <w:r w:rsidRPr="00C57985">
              <w:rPr>
                <w:sz w:val="20"/>
              </w:rPr>
              <w:t>passage aux toilettes PUIS à la douche, passage dans le pédiluve, nécessité de demander à aller aux toilettes en cas de besoin</w:t>
            </w:r>
            <w:r w:rsidR="00C57985" w:rsidRPr="00C57985">
              <w:rPr>
                <w:sz w:val="20"/>
              </w:rPr>
              <w:t>.</w:t>
            </w:r>
          </w:p>
        </w:tc>
        <w:tc>
          <w:tcPr>
            <w:tcW w:w="3437" w:type="dxa"/>
            <w:vAlign w:val="center"/>
          </w:tcPr>
          <w:p w:rsidR="0024260D" w:rsidRPr="00C57985" w:rsidRDefault="0024260D" w:rsidP="00C57985">
            <w:pPr>
              <w:rPr>
                <w:sz w:val="20"/>
              </w:rPr>
            </w:pPr>
            <w:r w:rsidRPr="00C57985">
              <w:rPr>
                <w:sz w:val="20"/>
              </w:rPr>
              <w:t xml:space="preserve">L’élève connaît plus ou moins les règles d’hygiène mais ne se rend pas compte qu’il est un acteur du respect de la propreté de la piscine. </w:t>
            </w:r>
          </w:p>
          <w:p w:rsidR="0024260D" w:rsidRPr="00C57985" w:rsidRDefault="0024260D" w:rsidP="00C57985">
            <w:pPr>
              <w:rPr>
                <w:sz w:val="20"/>
              </w:rPr>
            </w:pPr>
            <w:r w:rsidRPr="00C57985">
              <w:rPr>
                <w:sz w:val="20"/>
              </w:rPr>
              <w:t xml:space="preserve">Il évite la douche et le pédiluve si possible </w:t>
            </w:r>
          </w:p>
        </w:tc>
        <w:tc>
          <w:tcPr>
            <w:tcW w:w="3437" w:type="dxa"/>
            <w:vAlign w:val="center"/>
          </w:tcPr>
          <w:p w:rsidR="0024260D" w:rsidRPr="00C57985" w:rsidRDefault="0024260D" w:rsidP="00C57985">
            <w:pPr>
              <w:rPr>
                <w:sz w:val="20"/>
              </w:rPr>
            </w:pPr>
            <w:r w:rsidRPr="00C57985">
              <w:rPr>
                <w:sz w:val="20"/>
              </w:rPr>
              <w:t>L’élève connaît et met en œuvre les</w:t>
            </w:r>
            <w:r w:rsidR="00C57985" w:rsidRPr="00C57985">
              <w:rPr>
                <w:sz w:val="20"/>
              </w:rPr>
              <w:t xml:space="preserve"> règles d’hygiène primordiales : </w:t>
            </w:r>
            <w:r w:rsidRPr="00C57985">
              <w:rPr>
                <w:sz w:val="20"/>
              </w:rPr>
              <w:t xml:space="preserve">il va aux toilettes, il se douche, il passe dans le pédiluve, il demande à aller aux toilettes en cas de </w:t>
            </w:r>
            <w:r w:rsidR="00C57985" w:rsidRPr="00C57985">
              <w:rPr>
                <w:sz w:val="20"/>
              </w:rPr>
              <w:t>besoin</w:t>
            </w:r>
            <w:r w:rsidRPr="00C57985">
              <w:rPr>
                <w:sz w:val="20"/>
              </w:rPr>
              <w:t>.</w:t>
            </w:r>
          </w:p>
        </w:tc>
        <w:tc>
          <w:tcPr>
            <w:tcW w:w="3438" w:type="dxa"/>
            <w:vAlign w:val="center"/>
          </w:tcPr>
          <w:p w:rsidR="0024260D" w:rsidRPr="00C57985" w:rsidRDefault="0024260D" w:rsidP="00C57985">
            <w:pPr>
              <w:rPr>
                <w:sz w:val="20"/>
              </w:rPr>
            </w:pPr>
            <w:r w:rsidRPr="00C57985">
              <w:rPr>
                <w:sz w:val="20"/>
              </w:rPr>
              <w:t>L’élève est en mesure d’expliquer à un camarade les raisons du respect des règles d’hygiène. Il sait aussi que certaines situations obligent à mettre en œuvre des</w:t>
            </w:r>
            <w:r w:rsidR="00C57985" w:rsidRPr="00C57985">
              <w:rPr>
                <w:sz w:val="20"/>
              </w:rPr>
              <w:t xml:space="preserve"> règles d’hygiène particulières. Ex : </w:t>
            </w:r>
            <w:r w:rsidR="00111600" w:rsidRPr="00C57985">
              <w:rPr>
                <w:sz w:val="20"/>
              </w:rPr>
              <w:t>températures élevées</w:t>
            </w:r>
            <w:r w:rsidRPr="00C57985">
              <w:rPr>
                <w:sz w:val="20"/>
              </w:rPr>
              <w:t xml:space="preserve"> et donc sueurs</w:t>
            </w:r>
            <w:r w:rsidR="00111600" w:rsidRPr="00C57985">
              <w:rPr>
                <w:sz w:val="20"/>
              </w:rPr>
              <w:t xml:space="preserve"> à nettoyer avant d’aller à l’eau</w:t>
            </w:r>
            <w:r w:rsidR="00C57985" w:rsidRPr="00C57985">
              <w:rPr>
                <w:sz w:val="20"/>
              </w:rPr>
              <w:t>.</w:t>
            </w:r>
            <w:r w:rsidRPr="00C57985">
              <w:rPr>
                <w:sz w:val="20"/>
              </w:rPr>
              <w:t xml:space="preserve"> </w:t>
            </w:r>
          </w:p>
        </w:tc>
      </w:tr>
      <w:tr w:rsidR="0024260D" w:rsidTr="00C57985">
        <w:tc>
          <w:tcPr>
            <w:tcW w:w="1555" w:type="dxa"/>
            <w:vAlign w:val="center"/>
          </w:tcPr>
          <w:p w:rsidR="0024260D" w:rsidRPr="00C431F9" w:rsidRDefault="0024260D" w:rsidP="00C431F9">
            <w:pPr>
              <w:rPr>
                <w:b/>
              </w:rPr>
            </w:pPr>
            <w:r w:rsidRPr="00C431F9">
              <w:rPr>
                <w:b/>
              </w:rPr>
              <w:t>Règles de sécurité</w:t>
            </w:r>
          </w:p>
        </w:tc>
        <w:tc>
          <w:tcPr>
            <w:tcW w:w="3437" w:type="dxa"/>
            <w:vAlign w:val="center"/>
          </w:tcPr>
          <w:p w:rsidR="0024260D" w:rsidRPr="00C57985" w:rsidRDefault="00C57985" w:rsidP="00C57985">
            <w:pPr>
              <w:rPr>
                <w:sz w:val="20"/>
              </w:rPr>
            </w:pPr>
            <w:r w:rsidRPr="00C57985">
              <w:rPr>
                <w:sz w:val="20"/>
              </w:rPr>
              <w:t xml:space="preserve">L’élève </w:t>
            </w:r>
            <w:r w:rsidR="0024260D" w:rsidRPr="00C57985">
              <w:rPr>
                <w:sz w:val="20"/>
              </w:rPr>
              <w:t>ne repère pas le personnel de surveillance. Il ne connaît pas la fonction du MNS. Il ne prend pas en compte les informations liées à la sécurité (profondeur, interdictions diverses) ni les indications fournies par les MNS ou les adultes en responsabilité encadrants.</w:t>
            </w:r>
          </w:p>
        </w:tc>
        <w:tc>
          <w:tcPr>
            <w:tcW w:w="3437" w:type="dxa"/>
            <w:vAlign w:val="center"/>
          </w:tcPr>
          <w:p w:rsidR="0024260D" w:rsidRPr="00C57985" w:rsidRDefault="00C57985" w:rsidP="00C57985">
            <w:pPr>
              <w:rPr>
                <w:sz w:val="20"/>
              </w:rPr>
            </w:pPr>
            <w:r w:rsidRPr="00C57985">
              <w:rPr>
                <w:sz w:val="20"/>
              </w:rPr>
              <w:t>L’élève</w:t>
            </w:r>
            <w:r w:rsidR="0024260D" w:rsidRPr="00C57985">
              <w:rPr>
                <w:sz w:val="20"/>
              </w:rPr>
              <w:t xml:space="preserve"> est en mesure d’identifier le personnel de surveillance mais ne tient absolument pas compte de sa présence effective ou pas. Les informations de sécurité fournies par les MNS ou les adultes en responsabilité ne sont pas respectées. </w:t>
            </w:r>
          </w:p>
        </w:tc>
        <w:tc>
          <w:tcPr>
            <w:tcW w:w="3437" w:type="dxa"/>
            <w:vAlign w:val="center"/>
          </w:tcPr>
          <w:p w:rsidR="0024260D" w:rsidRPr="00C57985" w:rsidRDefault="0024260D" w:rsidP="00C57985">
            <w:pPr>
              <w:rPr>
                <w:sz w:val="20"/>
              </w:rPr>
            </w:pPr>
            <w:r w:rsidRPr="00C57985">
              <w:rPr>
                <w:sz w:val="20"/>
              </w:rPr>
              <w:t>L’élève repère le personnel de surveillance et respecte leurs informations. Il sait à qui s’adresser dans la piscine.</w:t>
            </w:r>
          </w:p>
        </w:tc>
        <w:tc>
          <w:tcPr>
            <w:tcW w:w="3438" w:type="dxa"/>
            <w:vAlign w:val="center"/>
          </w:tcPr>
          <w:p w:rsidR="0024260D" w:rsidRPr="00C57985" w:rsidRDefault="00C57985" w:rsidP="00C57985">
            <w:pPr>
              <w:rPr>
                <w:sz w:val="20"/>
              </w:rPr>
            </w:pPr>
            <w:r w:rsidRPr="00C57985">
              <w:rPr>
                <w:sz w:val="20"/>
              </w:rPr>
              <w:t xml:space="preserve">L’élève </w:t>
            </w:r>
            <w:r w:rsidR="0024260D" w:rsidRPr="00C57985">
              <w:rPr>
                <w:sz w:val="20"/>
              </w:rPr>
              <w:t>est en mesure d’indiquer à un camarade que la baignade n’est pas possible en raison de l’absence d’un élément majeur lié à la sécurité (MNS)</w:t>
            </w:r>
            <w:r w:rsidRPr="00C57985">
              <w:rPr>
                <w:sz w:val="20"/>
              </w:rPr>
              <w:t>.</w:t>
            </w:r>
          </w:p>
          <w:p w:rsidR="0024260D" w:rsidRPr="00C57985" w:rsidRDefault="0024260D" w:rsidP="00C57985">
            <w:pPr>
              <w:rPr>
                <w:sz w:val="20"/>
              </w:rPr>
            </w:pPr>
            <w:r w:rsidRPr="00C57985">
              <w:rPr>
                <w:sz w:val="20"/>
              </w:rPr>
              <w:t xml:space="preserve">Il est capable de repérer des zones moins sûres (arrivée de toboggan, proximité des plongeoirs s’ils sont ouverts au public, etc.). </w:t>
            </w:r>
          </w:p>
        </w:tc>
      </w:tr>
      <w:tr w:rsidR="0024260D" w:rsidTr="00C57985">
        <w:tc>
          <w:tcPr>
            <w:tcW w:w="1555" w:type="dxa"/>
            <w:vAlign w:val="center"/>
          </w:tcPr>
          <w:p w:rsidR="0024260D" w:rsidRPr="00C431F9" w:rsidRDefault="0024260D" w:rsidP="00C431F9">
            <w:pPr>
              <w:rPr>
                <w:b/>
              </w:rPr>
            </w:pPr>
            <w:r w:rsidRPr="00C431F9">
              <w:rPr>
                <w:b/>
              </w:rPr>
              <w:t xml:space="preserve">Savoir identifier les environnements et les circonstances pour lesquels l’attestation du savoir nager est adaptée.  </w:t>
            </w:r>
          </w:p>
        </w:tc>
        <w:tc>
          <w:tcPr>
            <w:tcW w:w="3437" w:type="dxa"/>
            <w:vAlign w:val="center"/>
          </w:tcPr>
          <w:p w:rsidR="0024260D" w:rsidRPr="00C57985" w:rsidRDefault="00C57985" w:rsidP="00C57985">
            <w:pPr>
              <w:rPr>
                <w:sz w:val="20"/>
              </w:rPr>
            </w:pPr>
            <w:r w:rsidRPr="00C57985">
              <w:rPr>
                <w:sz w:val="20"/>
              </w:rPr>
              <w:t xml:space="preserve">L’élève </w:t>
            </w:r>
            <w:r w:rsidRPr="00C57985">
              <w:rPr>
                <w:sz w:val="20"/>
              </w:rPr>
              <w:t>ne sait pas s’il a réussi</w:t>
            </w:r>
            <w:r w:rsidR="0024260D" w:rsidRPr="00C57985">
              <w:rPr>
                <w:sz w:val="20"/>
              </w:rPr>
              <w:t xml:space="preserve"> les épreuves qui permettent la délivrance de l’attestation. Il peut annoncer qu’il sait nager alors que cela peut n’être pas le cas. Il pense que tout endroit du bassin dans lequel il a évolué est adapté à son niveau. </w:t>
            </w:r>
          </w:p>
        </w:tc>
        <w:tc>
          <w:tcPr>
            <w:tcW w:w="3437" w:type="dxa"/>
            <w:vAlign w:val="center"/>
          </w:tcPr>
          <w:p w:rsidR="0024260D" w:rsidRPr="00C57985" w:rsidRDefault="00C57985" w:rsidP="00C57985">
            <w:pPr>
              <w:rPr>
                <w:sz w:val="20"/>
              </w:rPr>
            </w:pPr>
            <w:r w:rsidRPr="00C57985">
              <w:rPr>
                <w:sz w:val="20"/>
              </w:rPr>
              <w:t>L’élève</w:t>
            </w:r>
            <w:r w:rsidR="0024260D" w:rsidRPr="00C57985">
              <w:rPr>
                <w:sz w:val="20"/>
              </w:rPr>
              <w:t xml:space="preserve"> ne parvient pas à comprendre que l’attestation « savoir nager » ne veut pas dire qu</w:t>
            </w:r>
            <w:r w:rsidRPr="00C57985">
              <w:rPr>
                <w:sz w:val="20"/>
              </w:rPr>
              <w:t>’il peut évoluer sans s</w:t>
            </w:r>
            <w:r w:rsidR="0024260D" w:rsidRPr="00C57985">
              <w:rPr>
                <w:sz w:val="20"/>
              </w:rPr>
              <w:t xml:space="preserve">e préoccuper des autres et de la piscine. </w:t>
            </w:r>
          </w:p>
          <w:p w:rsidR="0024260D" w:rsidRPr="00C57985" w:rsidRDefault="00C57985" w:rsidP="00C57985">
            <w:pPr>
              <w:rPr>
                <w:sz w:val="20"/>
              </w:rPr>
            </w:pPr>
            <w:r w:rsidRPr="00C57985">
              <w:rPr>
                <w:sz w:val="20"/>
              </w:rPr>
              <w:t>Il</w:t>
            </w:r>
            <w:r w:rsidR="0024260D" w:rsidRPr="00C57985">
              <w:rPr>
                <w:sz w:val="20"/>
              </w:rPr>
              <w:t xml:space="preserve"> est capable de repérer les différents espaces</w:t>
            </w:r>
            <w:r w:rsidR="00B140D6" w:rsidRPr="00C57985">
              <w:rPr>
                <w:sz w:val="20"/>
              </w:rPr>
              <w:t xml:space="preserve"> de la piscine dans laquelle il a évolué</w:t>
            </w:r>
            <w:r w:rsidR="0024260D" w:rsidRPr="00C57985">
              <w:rPr>
                <w:sz w:val="20"/>
              </w:rPr>
              <w:t xml:space="preserve"> mais ne sait pas dans lesqu</w:t>
            </w:r>
            <w:r w:rsidRPr="00C57985">
              <w:rPr>
                <w:sz w:val="20"/>
              </w:rPr>
              <w:t>els il peut évoluer en sécurité.</w:t>
            </w:r>
          </w:p>
        </w:tc>
        <w:tc>
          <w:tcPr>
            <w:tcW w:w="3437" w:type="dxa"/>
            <w:vAlign w:val="center"/>
          </w:tcPr>
          <w:p w:rsidR="0024260D" w:rsidRPr="00C57985" w:rsidRDefault="00C57985" w:rsidP="00C57985">
            <w:pPr>
              <w:rPr>
                <w:sz w:val="20"/>
              </w:rPr>
            </w:pPr>
            <w:r w:rsidRPr="00C57985">
              <w:rPr>
                <w:sz w:val="20"/>
              </w:rPr>
              <w:t xml:space="preserve">L’élève </w:t>
            </w:r>
            <w:r w:rsidR="0024260D" w:rsidRPr="00C57985">
              <w:rPr>
                <w:sz w:val="20"/>
              </w:rPr>
              <w:t>sait que la possession de l’attestation veut dire « attention, je peux nager dans cette piscine si je continue à faire attention à ce qui m’entoure ». Il repère les espaces où il sait qu’il peut évoluer en sécurité (profondeur, zones d’entrée à respecter, espace saturé de  nageurs, points ou zones où s’accrocher en cas de besoin, etc.).Il sait qu’il peut agrandir son espace d’évolution avec l’aide d’un adulte</w:t>
            </w:r>
            <w:r w:rsidRPr="00C57985">
              <w:rPr>
                <w:sz w:val="20"/>
              </w:rPr>
              <w:t>.</w:t>
            </w:r>
          </w:p>
        </w:tc>
        <w:tc>
          <w:tcPr>
            <w:tcW w:w="3438" w:type="dxa"/>
            <w:vAlign w:val="center"/>
          </w:tcPr>
          <w:p w:rsidR="0024260D" w:rsidRPr="00C57985" w:rsidRDefault="00C57985" w:rsidP="00C57985">
            <w:pPr>
              <w:rPr>
                <w:sz w:val="20"/>
              </w:rPr>
            </w:pPr>
            <w:r w:rsidRPr="00C57985">
              <w:rPr>
                <w:sz w:val="20"/>
              </w:rPr>
              <w:t xml:space="preserve">L’élève </w:t>
            </w:r>
            <w:r w:rsidR="0024260D" w:rsidRPr="00C57985">
              <w:rPr>
                <w:sz w:val="20"/>
              </w:rPr>
              <w:t>est en mesure d’attirer l’attention de son camarade sur l’adéquation entre le</w:t>
            </w:r>
            <w:r w:rsidR="00B140D6" w:rsidRPr="00C57985">
              <w:rPr>
                <w:sz w:val="20"/>
              </w:rPr>
              <w:t xml:space="preserve">s caractéristiques </w:t>
            </w:r>
            <w:r w:rsidR="0024260D" w:rsidRPr="00C57985">
              <w:rPr>
                <w:sz w:val="20"/>
              </w:rPr>
              <w:t xml:space="preserve">de la piscine </w:t>
            </w:r>
            <w:r w:rsidR="00B140D6" w:rsidRPr="00C57985">
              <w:rPr>
                <w:sz w:val="20"/>
              </w:rPr>
              <w:t xml:space="preserve"> (profondeur, dimensions, zones particulières) </w:t>
            </w:r>
            <w:r w:rsidR="0024260D" w:rsidRPr="00C57985">
              <w:rPr>
                <w:sz w:val="20"/>
              </w:rPr>
              <w:t>et les ressources de son camarade.</w:t>
            </w:r>
          </w:p>
          <w:p w:rsidR="0024260D" w:rsidRPr="00C57985" w:rsidRDefault="0024260D" w:rsidP="00C57985">
            <w:pPr>
              <w:rPr>
                <w:sz w:val="20"/>
              </w:rPr>
            </w:pPr>
          </w:p>
        </w:tc>
      </w:tr>
    </w:tbl>
    <w:p w:rsidR="001C1323" w:rsidRDefault="001C1323"/>
    <w:p w:rsidR="0024260D" w:rsidRPr="00C57985" w:rsidRDefault="0024260D" w:rsidP="00B22368">
      <w:pPr>
        <w:jc w:val="both"/>
        <w:rPr>
          <w:b/>
        </w:rPr>
      </w:pPr>
      <w:r w:rsidRPr="00C57985">
        <w:rPr>
          <w:b/>
        </w:rPr>
        <w:t xml:space="preserve">Le savoir nager étant une compétence, </w:t>
      </w:r>
      <w:proofErr w:type="gramStart"/>
      <w:r w:rsidRPr="00C57985">
        <w:rPr>
          <w:b/>
        </w:rPr>
        <w:t>la</w:t>
      </w:r>
      <w:proofErr w:type="gramEnd"/>
      <w:r w:rsidRPr="00C57985">
        <w:rPr>
          <w:b/>
        </w:rPr>
        <w:t xml:space="preserve"> non validation de l’un des items du test (l’une des actions à réaliser pendant le parcours ou des connaissances et attitudes non maîtrisées) </w:t>
      </w:r>
      <w:r w:rsidR="00C57985" w:rsidRPr="00C57985">
        <w:rPr>
          <w:b/>
        </w:rPr>
        <w:t>conduit à la non-validation du</w:t>
      </w:r>
      <w:r w:rsidRPr="00C57985">
        <w:rPr>
          <w:b/>
        </w:rPr>
        <w:t xml:space="preserve"> test.</w:t>
      </w:r>
    </w:p>
    <w:sectPr w:rsidR="0024260D" w:rsidRPr="00C57985" w:rsidSect="00B45A1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47" w:rsidRDefault="001F4647" w:rsidP="00C431F9">
      <w:pPr>
        <w:spacing w:after="0" w:line="240" w:lineRule="auto"/>
      </w:pPr>
      <w:r>
        <w:separator/>
      </w:r>
    </w:p>
  </w:endnote>
  <w:endnote w:type="continuationSeparator" w:id="0">
    <w:p w:rsidR="001F4647" w:rsidRDefault="001F4647" w:rsidP="00C4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85" w:rsidRDefault="00C579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85" w:rsidRPr="00B45A1E" w:rsidRDefault="00B45A1E" w:rsidP="00B45A1E">
    <w:pPr>
      <w:pStyle w:val="Pieddepage"/>
      <w:jc w:val="right"/>
      <w:rPr>
        <w:i/>
        <w:sz w:val="18"/>
      </w:rPr>
    </w:pPr>
    <w:r w:rsidRPr="00B45A1E">
      <w:rPr>
        <w:i/>
        <w:sz w:val="18"/>
      </w:rPr>
      <w:t>D’après document de travail de Luc BONNET, CPD EPS du Rhône</w:t>
    </w:r>
    <w:r>
      <w:rPr>
        <w:i/>
        <w:sz w:val="18"/>
      </w:rPr>
      <w:t xml:space="preserve">, novembre </w:t>
    </w:r>
    <w:r>
      <w:rPr>
        <w:i/>
        <w:sz w:val="18"/>
      </w:rPr>
      <w:t>2015</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85" w:rsidRDefault="00C579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47" w:rsidRDefault="001F4647" w:rsidP="00C431F9">
      <w:pPr>
        <w:spacing w:after="0" w:line="240" w:lineRule="auto"/>
      </w:pPr>
      <w:r>
        <w:separator/>
      </w:r>
    </w:p>
  </w:footnote>
  <w:footnote w:type="continuationSeparator" w:id="0">
    <w:p w:rsidR="001F4647" w:rsidRDefault="001F4647" w:rsidP="00C4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85" w:rsidRDefault="00C579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85" w:rsidRDefault="00C57985" w:rsidP="00C57985">
    <w:pPr>
      <w:pStyle w:val="Titre2"/>
      <w:jc w:val="both"/>
    </w:pPr>
    <w:r>
      <w:t>SAVOIR NAGER - L’évaluation des connaissances et des attitudes attendues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985" w:rsidRDefault="00C579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0BA"/>
    <w:multiLevelType w:val="multilevel"/>
    <w:tmpl w:val="C6CC2D2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1" w15:restartNumberingAfterBreak="0">
    <w:nsid w:val="142D2FF4"/>
    <w:multiLevelType w:val="hybridMultilevel"/>
    <w:tmpl w:val="9F6808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BA0B4A"/>
    <w:multiLevelType w:val="hybridMultilevel"/>
    <w:tmpl w:val="F8C8C768"/>
    <w:lvl w:ilvl="0" w:tplc="903251D6">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35762F3D"/>
    <w:multiLevelType w:val="hybridMultilevel"/>
    <w:tmpl w:val="A83A3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825A4D"/>
    <w:multiLevelType w:val="hybridMultilevel"/>
    <w:tmpl w:val="9C48E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365CC5"/>
    <w:multiLevelType w:val="multilevel"/>
    <w:tmpl w:val="C6CC2D26"/>
    <w:lvl w:ilvl="0">
      <w:start w:val="1"/>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640" w:hanging="1800"/>
      </w:pPr>
      <w:rPr>
        <w:rFonts w:hint="default"/>
      </w:rPr>
    </w:lvl>
  </w:abstractNum>
  <w:abstractNum w:abstractNumId="6" w15:restartNumberingAfterBreak="0">
    <w:nsid w:val="594563BB"/>
    <w:multiLevelType w:val="hybridMultilevel"/>
    <w:tmpl w:val="6452202E"/>
    <w:lvl w:ilvl="0" w:tplc="8B7482D4">
      <w:start w:val="2"/>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663542E3"/>
    <w:multiLevelType w:val="hybridMultilevel"/>
    <w:tmpl w:val="C2663AA4"/>
    <w:lvl w:ilvl="0" w:tplc="2E3ABC1A">
      <w:start w:val="3"/>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9A50E34"/>
    <w:multiLevelType w:val="hybridMultilevel"/>
    <w:tmpl w:val="EAEAD5EE"/>
    <w:lvl w:ilvl="0" w:tplc="88CEE05C">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num w:numId="1">
    <w:abstractNumId w:val="2"/>
  </w:num>
  <w:num w:numId="2">
    <w:abstractNumId w:val="7"/>
  </w:num>
  <w:num w:numId="3">
    <w:abstractNumId w:val="1"/>
  </w:num>
  <w:num w:numId="4">
    <w:abstractNumId w:val="0"/>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12"/>
    <w:rsid w:val="0001742B"/>
    <w:rsid w:val="00090218"/>
    <w:rsid w:val="000A101A"/>
    <w:rsid w:val="000E4523"/>
    <w:rsid w:val="000F0573"/>
    <w:rsid w:val="00111600"/>
    <w:rsid w:val="001C1323"/>
    <w:rsid w:val="001F4647"/>
    <w:rsid w:val="0024260D"/>
    <w:rsid w:val="002452EC"/>
    <w:rsid w:val="002B16BD"/>
    <w:rsid w:val="002B3875"/>
    <w:rsid w:val="002B4A1C"/>
    <w:rsid w:val="002E0E44"/>
    <w:rsid w:val="0031134E"/>
    <w:rsid w:val="0033644E"/>
    <w:rsid w:val="0036000D"/>
    <w:rsid w:val="00367079"/>
    <w:rsid w:val="00385292"/>
    <w:rsid w:val="003C1087"/>
    <w:rsid w:val="0043570D"/>
    <w:rsid w:val="00445C50"/>
    <w:rsid w:val="00446B5A"/>
    <w:rsid w:val="00453FAE"/>
    <w:rsid w:val="0046450B"/>
    <w:rsid w:val="00466B58"/>
    <w:rsid w:val="00471664"/>
    <w:rsid w:val="00474F5B"/>
    <w:rsid w:val="004B095B"/>
    <w:rsid w:val="005C197A"/>
    <w:rsid w:val="005E71AC"/>
    <w:rsid w:val="00600D88"/>
    <w:rsid w:val="00607718"/>
    <w:rsid w:val="0066551B"/>
    <w:rsid w:val="006A7FC2"/>
    <w:rsid w:val="006D35F0"/>
    <w:rsid w:val="00722E27"/>
    <w:rsid w:val="0076063A"/>
    <w:rsid w:val="00773D23"/>
    <w:rsid w:val="00787C58"/>
    <w:rsid w:val="007A7348"/>
    <w:rsid w:val="007D1E56"/>
    <w:rsid w:val="00841793"/>
    <w:rsid w:val="008561B0"/>
    <w:rsid w:val="00872566"/>
    <w:rsid w:val="009145BB"/>
    <w:rsid w:val="00967618"/>
    <w:rsid w:val="009B2054"/>
    <w:rsid w:val="009C340C"/>
    <w:rsid w:val="00A0420D"/>
    <w:rsid w:val="00A216C7"/>
    <w:rsid w:val="00A72F57"/>
    <w:rsid w:val="00AC3E42"/>
    <w:rsid w:val="00AE7E77"/>
    <w:rsid w:val="00B065B0"/>
    <w:rsid w:val="00B140D6"/>
    <w:rsid w:val="00B22368"/>
    <w:rsid w:val="00B45A1E"/>
    <w:rsid w:val="00B54EF1"/>
    <w:rsid w:val="00B84492"/>
    <w:rsid w:val="00B92D9C"/>
    <w:rsid w:val="00B93828"/>
    <w:rsid w:val="00BE3207"/>
    <w:rsid w:val="00C348CC"/>
    <w:rsid w:val="00C431F9"/>
    <w:rsid w:val="00C57985"/>
    <w:rsid w:val="00C600D4"/>
    <w:rsid w:val="00C62086"/>
    <w:rsid w:val="00C72FF4"/>
    <w:rsid w:val="00C75AE6"/>
    <w:rsid w:val="00D15231"/>
    <w:rsid w:val="00D47F12"/>
    <w:rsid w:val="00D70AD4"/>
    <w:rsid w:val="00D7162C"/>
    <w:rsid w:val="00E52868"/>
    <w:rsid w:val="00E70012"/>
    <w:rsid w:val="00E74D94"/>
    <w:rsid w:val="00EF632F"/>
    <w:rsid w:val="00F13DBE"/>
    <w:rsid w:val="00F27636"/>
    <w:rsid w:val="00FB3DCB"/>
    <w:rsid w:val="00FD016D"/>
    <w:rsid w:val="00FD36B5"/>
    <w:rsid w:val="00FF69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820708-2A8E-46AA-8FFE-30833F9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655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655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00D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B58"/>
    <w:pPr>
      <w:ind w:left="720"/>
      <w:contextualSpacing/>
    </w:pPr>
  </w:style>
  <w:style w:type="table" w:styleId="Grilledutableau">
    <w:name w:val="Table Grid"/>
    <w:basedOn w:val="TableauNormal"/>
    <w:uiPriority w:val="39"/>
    <w:rsid w:val="00841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6551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6551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600D88"/>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uiPriority w:val="99"/>
    <w:unhideWhenUsed/>
    <w:rsid w:val="00C431F9"/>
    <w:pPr>
      <w:tabs>
        <w:tab w:val="center" w:pos="4536"/>
        <w:tab w:val="right" w:pos="9072"/>
      </w:tabs>
      <w:spacing w:after="0" w:line="240" w:lineRule="auto"/>
    </w:pPr>
  </w:style>
  <w:style w:type="character" w:customStyle="1" w:styleId="En-tteCar">
    <w:name w:val="En-tête Car"/>
    <w:basedOn w:val="Policepardfaut"/>
    <w:link w:val="En-tte"/>
    <w:uiPriority w:val="99"/>
    <w:rsid w:val="00C431F9"/>
  </w:style>
  <w:style w:type="paragraph" w:styleId="Pieddepage">
    <w:name w:val="footer"/>
    <w:basedOn w:val="Normal"/>
    <w:link w:val="PieddepageCar"/>
    <w:uiPriority w:val="99"/>
    <w:unhideWhenUsed/>
    <w:rsid w:val="00C43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31F9"/>
  </w:style>
  <w:style w:type="paragraph" w:styleId="Sansinterligne">
    <w:name w:val="No Spacing"/>
    <w:uiPriority w:val="1"/>
    <w:qFormat/>
    <w:rsid w:val="00C57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B3BF0-E6AA-42BA-AFC8-BD05BA62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3460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lbonnet3</dc:creator>
  <cp:keywords/>
  <dc:description/>
  <cp:lastModifiedBy>circo</cp:lastModifiedBy>
  <cp:revision>2</cp:revision>
  <dcterms:created xsi:type="dcterms:W3CDTF">2016-10-05T09:49:00Z</dcterms:created>
  <dcterms:modified xsi:type="dcterms:W3CDTF">2016-10-05T09:49:00Z</dcterms:modified>
</cp:coreProperties>
</file>